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BF" w:rsidRDefault="00DA512D" w:rsidP="00DA512D">
      <w:pPr>
        <w:pStyle w:val="Titel"/>
      </w:pPr>
      <w:r>
        <w:t>Erläuterungen zu den EU Standardformularen</w:t>
      </w:r>
    </w:p>
    <w:p w:rsidR="00DA512D" w:rsidRDefault="00DA512D" w:rsidP="00DA512D">
      <w:pPr>
        <w:ind w:firstLine="0"/>
      </w:pPr>
      <w:r>
        <w:t xml:space="preserve">Die EU Standardformulare sind ausschließlich elektronisch über den Vergabemarktplatz des Landes NRW </w:t>
      </w:r>
      <w:r w:rsidR="005E7B3F">
        <w:t xml:space="preserve">(VMP NRW) </w:t>
      </w:r>
      <w:r>
        <w:t>auszufüllen. Die Daten der Formulare werden über eine technische Schnittstelle an das Amt für amtliche Veröffentlichungen der Europäischen Union übersandt. Da es sich um sog. technische Formulare handelt, kann es sein, dass bei der elektronischen Bearbeitung weitere Datenfelder als in den hier aufgenommenen Formularen ausgefüllt werden müssen.</w:t>
      </w:r>
    </w:p>
    <w:p w:rsidR="00DA512D" w:rsidRDefault="00DA512D" w:rsidP="00DA512D">
      <w:pPr>
        <w:ind w:firstLine="0"/>
      </w:pPr>
      <w:r>
        <w:t>Die nachfolgenden Erläuterungen sollen nur eine Hilfestellung zum Ausfüllen der Formulare darstellen.</w:t>
      </w:r>
    </w:p>
    <w:p w:rsidR="00DA512D" w:rsidRDefault="00DA512D" w:rsidP="00DA512D">
      <w:pPr>
        <w:pStyle w:val="berschrift1"/>
      </w:pPr>
      <w:r>
        <w:t>Angaben, die in allen Standardformularen vorkommen</w:t>
      </w:r>
    </w:p>
    <w:tbl>
      <w:tblPr>
        <w:tblStyle w:val="Tabellenraster"/>
        <w:tblW w:w="0" w:type="auto"/>
        <w:tblLook w:val="04A0" w:firstRow="1" w:lastRow="0" w:firstColumn="1" w:lastColumn="0" w:noHBand="0" w:noVBand="1"/>
      </w:tblPr>
      <w:tblGrid>
        <w:gridCol w:w="3369"/>
        <w:gridCol w:w="6125"/>
      </w:tblGrid>
      <w:tr w:rsidR="00DA512D" w:rsidTr="00DA512D">
        <w:tc>
          <w:tcPr>
            <w:tcW w:w="3369" w:type="dxa"/>
          </w:tcPr>
          <w:p w:rsidR="00DA512D" w:rsidRDefault="00DA512D" w:rsidP="00DA512D">
            <w:pPr>
              <w:ind w:firstLine="0"/>
            </w:pPr>
            <w:r>
              <w:t>Bezeichnung</w:t>
            </w:r>
          </w:p>
        </w:tc>
        <w:tc>
          <w:tcPr>
            <w:tcW w:w="6125" w:type="dxa"/>
          </w:tcPr>
          <w:p w:rsidR="00DA512D" w:rsidRDefault="00DA512D" w:rsidP="00DA512D">
            <w:pPr>
              <w:ind w:firstLine="0"/>
            </w:pPr>
            <w:r>
              <w:t>Erläuterung</w:t>
            </w:r>
          </w:p>
        </w:tc>
      </w:tr>
      <w:tr w:rsidR="005E7B3F" w:rsidRPr="00DA512D" w:rsidTr="00ED2FDF">
        <w:tc>
          <w:tcPr>
            <w:tcW w:w="9494" w:type="dxa"/>
            <w:gridSpan w:val="2"/>
          </w:tcPr>
          <w:p w:rsidR="005E7B3F" w:rsidRPr="005E7B3F" w:rsidRDefault="005E7B3F" w:rsidP="00DA512D">
            <w:pPr>
              <w:ind w:firstLine="0"/>
              <w:rPr>
                <w:b/>
                <w:sz w:val="16"/>
                <w:szCs w:val="16"/>
              </w:rPr>
            </w:pPr>
            <w:r w:rsidRPr="005E7B3F">
              <w:rPr>
                <w:b/>
                <w:sz w:val="16"/>
                <w:szCs w:val="16"/>
              </w:rPr>
              <w:t>Namen und Adressen</w:t>
            </w:r>
          </w:p>
        </w:tc>
      </w:tr>
      <w:tr w:rsidR="00DA512D" w:rsidRPr="00DA512D" w:rsidTr="00DA512D">
        <w:tc>
          <w:tcPr>
            <w:tcW w:w="3369" w:type="dxa"/>
          </w:tcPr>
          <w:p w:rsidR="00DA512D" w:rsidRPr="00DA512D" w:rsidRDefault="00DA512D" w:rsidP="00DA512D">
            <w:pPr>
              <w:ind w:firstLine="0"/>
              <w:rPr>
                <w:sz w:val="16"/>
                <w:szCs w:val="16"/>
              </w:rPr>
            </w:pPr>
            <w:r w:rsidRPr="00DA512D">
              <w:rPr>
                <w:sz w:val="16"/>
                <w:szCs w:val="16"/>
              </w:rPr>
              <w:t>Nationale I</w:t>
            </w:r>
            <w:r>
              <w:rPr>
                <w:sz w:val="16"/>
                <w:szCs w:val="16"/>
              </w:rPr>
              <w:t>dentifikationsnummer</w:t>
            </w:r>
          </w:p>
        </w:tc>
        <w:tc>
          <w:tcPr>
            <w:tcW w:w="6125" w:type="dxa"/>
          </w:tcPr>
          <w:p w:rsidR="00DA512D" w:rsidRPr="00DA512D" w:rsidRDefault="00DA512D" w:rsidP="00DA512D">
            <w:pPr>
              <w:ind w:firstLine="0"/>
              <w:rPr>
                <w:sz w:val="16"/>
                <w:szCs w:val="16"/>
              </w:rPr>
            </w:pPr>
            <w:r>
              <w:rPr>
                <w:sz w:val="16"/>
                <w:szCs w:val="16"/>
              </w:rPr>
              <w:t>keine Angabe</w:t>
            </w:r>
          </w:p>
        </w:tc>
      </w:tr>
      <w:tr w:rsidR="00DA512D" w:rsidRPr="00DA512D" w:rsidTr="00DA512D">
        <w:tc>
          <w:tcPr>
            <w:tcW w:w="3369" w:type="dxa"/>
          </w:tcPr>
          <w:p w:rsidR="00DA512D" w:rsidRPr="00DA512D" w:rsidRDefault="005E7B3F" w:rsidP="00DA512D">
            <w:pPr>
              <w:ind w:firstLine="0"/>
              <w:rPr>
                <w:sz w:val="16"/>
                <w:szCs w:val="16"/>
              </w:rPr>
            </w:pPr>
            <w:proofErr w:type="spellStart"/>
            <w:r>
              <w:rPr>
                <w:sz w:val="16"/>
                <w:szCs w:val="16"/>
              </w:rPr>
              <w:t>Nuts</w:t>
            </w:r>
            <w:proofErr w:type="spellEnd"/>
            <w:r>
              <w:rPr>
                <w:sz w:val="16"/>
                <w:szCs w:val="16"/>
              </w:rPr>
              <w:t>-Code</w:t>
            </w:r>
          </w:p>
        </w:tc>
        <w:tc>
          <w:tcPr>
            <w:tcW w:w="6125" w:type="dxa"/>
          </w:tcPr>
          <w:p w:rsidR="00DA512D" w:rsidRPr="00DA512D" w:rsidRDefault="005E7B3F" w:rsidP="00DA512D">
            <w:pPr>
              <w:ind w:firstLine="0"/>
              <w:rPr>
                <w:sz w:val="16"/>
                <w:szCs w:val="16"/>
              </w:rPr>
            </w:pPr>
            <w:r>
              <w:rPr>
                <w:sz w:val="16"/>
                <w:szCs w:val="16"/>
              </w:rPr>
              <w:t>Wird über den „</w:t>
            </w:r>
            <w:proofErr w:type="spellStart"/>
            <w:r>
              <w:rPr>
                <w:sz w:val="16"/>
                <w:szCs w:val="16"/>
              </w:rPr>
              <w:t>Nuts</w:t>
            </w:r>
            <w:proofErr w:type="spellEnd"/>
            <w:r>
              <w:rPr>
                <w:sz w:val="16"/>
                <w:szCs w:val="16"/>
              </w:rPr>
              <w:t xml:space="preserve">-Code-Assistenten“ des VMP NRW ausgewählt. Ggf. weitere Informationen unter </w:t>
            </w:r>
            <w:hyperlink r:id="rId9" w:history="1">
              <w:r w:rsidRPr="00886A68">
                <w:rPr>
                  <w:rStyle w:val="Hyperlink"/>
                  <w:sz w:val="16"/>
                  <w:szCs w:val="16"/>
                </w:rPr>
                <w:t>http://simap.ted.europa.eu/web/simap/nuts</w:t>
              </w:r>
            </w:hyperlink>
          </w:p>
        </w:tc>
      </w:tr>
      <w:tr w:rsidR="005E7B3F" w:rsidRPr="00DA512D" w:rsidTr="00D86F90">
        <w:tc>
          <w:tcPr>
            <w:tcW w:w="9494" w:type="dxa"/>
            <w:gridSpan w:val="2"/>
          </w:tcPr>
          <w:p w:rsidR="005E7B3F" w:rsidRPr="005E7B3F" w:rsidRDefault="005E7B3F" w:rsidP="00D86F90">
            <w:pPr>
              <w:ind w:firstLine="0"/>
              <w:rPr>
                <w:b/>
                <w:sz w:val="16"/>
                <w:szCs w:val="16"/>
              </w:rPr>
            </w:pPr>
            <w:r>
              <w:rPr>
                <w:b/>
                <w:sz w:val="16"/>
                <w:szCs w:val="16"/>
              </w:rPr>
              <w:t>Gemeinsame Beschaffung</w:t>
            </w:r>
          </w:p>
        </w:tc>
      </w:tr>
      <w:tr w:rsidR="00DA512D" w:rsidRPr="00DA512D" w:rsidTr="00DA512D">
        <w:tc>
          <w:tcPr>
            <w:tcW w:w="3369" w:type="dxa"/>
          </w:tcPr>
          <w:p w:rsidR="00DA512D" w:rsidRPr="00DA512D" w:rsidRDefault="005E7B3F" w:rsidP="00DA512D">
            <w:pPr>
              <w:ind w:firstLine="0"/>
              <w:rPr>
                <w:sz w:val="16"/>
                <w:szCs w:val="16"/>
              </w:rPr>
            </w:pPr>
            <w:r>
              <w:rPr>
                <w:sz w:val="16"/>
                <w:szCs w:val="16"/>
              </w:rPr>
              <w:t>Gemeinsame Beschaffung</w:t>
            </w:r>
          </w:p>
        </w:tc>
        <w:tc>
          <w:tcPr>
            <w:tcW w:w="6125" w:type="dxa"/>
          </w:tcPr>
          <w:p w:rsidR="00DA512D" w:rsidRPr="00DA512D" w:rsidRDefault="005E7B3F" w:rsidP="00DA512D">
            <w:pPr>
              <w:ind w:firstLine="0"/>
              <w:rPr>
                <w:sz w:val="16"/>
                <w:szCs w:val="16"/>
              </w:rPr>
            </w:pPr>
            <w:r>
              <w:rPr>
                <w:sz w:val="16"/>
                <w:szCs w:val="16"/>
              </w:rPr>
              <w:t xml:space="preserve">Hinweis auf § 4 Abs. 1 und 2 </w:t>
            </w:r>
            <w:proofErr w:type="spellStart"/>
            <w:r>
              <w:rPr>
                <w:sz w:val="16"/>
                <w:szCs w:val="16"/>
              </w:rPr>
              <w:t>VgV</w:t>
            </w:r>
            <w:proofErr w:type="spellEnd"/>
          </w:p>
        </w:tc>
      </w:tr>
      <w:tr w:rsidR="005E7B3F" w:rsidRPr="00DA512D" w:rsidTr="00DA512D">
        <w:tc>
          <w:tcPr>
            <w:tcW w:w="3369" w:type="dxa"/>
          </w:tcPr>
          <w:p w:rsidR="005E7B3F" w:rsidRDefault="005E7B3F" w:rsidP="00DA512D">
            <w:pPr>
              <w:ind w:firstLine="0"/>
              <w:rPr>
                <w:sz w:val="16"/>
                <w:szCs w:val="16"/>
              </w:rPr>
            </w:pPr>
            <w:r>
              <w:rPr>
                <w:sz w:val="16"/>
                <w:szCs w:val="16"/>
              </w:rPr>
              <w:t>Zentrale Beschaffungsstelle</w:t>
            </w:r>
          </w:p>
        </w:tc>
        <w:tc>
          <w:tcPr>
            <w:tcW w:w="6125" w:type="dxa"/>
          </w:tcPr>
          <w:p w:rsidR="005E7B3F" w:rsidRDefault="005E7B3F" w:rsidP="00DA512D">
            <w:pPr>
              <w:ind w:firstLine="0"/>
              <w:rPr>
                <w:sz w:val="16"/>
                <w:szCs w:val="16"/>
              </w:rPr>
            </w:pPr>
            <w:r>
              <w:rPr>
                <w:sz w:val="16"/>
                <w:szCs w:val="16"/>
              </w:rPr>
              <w:t>Hinweis auf § 120 Abs. 4 GWB nebst AB</w:t>
            </w:r>
          </w:p>
        </w:tc>
      </w:tr>
      <w:tr w:rsidR="005E7B3F" w:rsidRPr="00DA512D" w:rsidTr="00DA512D">
        <w:tc>
          <w:tcPr>
            <w:tcW w:w="3369" w:type="dxa"/>
          </w:tcPr>
          <w:p w:rsidR="005E7B3F" w:rsidRPr="00932420" w:rsidRDefault="00932420" w:rsidP="00DA512D">
            <w:pPr>
              <w:ind w:firstLine="0"/>
              <w:rPr>
                <w:b/>
                <w:sz w:val="16"/>
                <w:szCs w:val="16"/>
              </w:rPr>
            </w:pPr>
            <w:r w:rsidRPr="00932420">
              <w:rPr>
                <w:b/>
                <w:sz w:val="16"/>
                <w:szCs w:val="16"/>
              </w:rPr>
              <w:t>Art des öffentlichen Auftraggebers</w:t>
            </w:r>
          </w:p>
        </w:tc>
        <w:tc>
          <w:tcPr>
            <w:tcW w:w="6125" w:type="dxa"/>
          </w:tcPr>
          <w:p w:rsidR="005E7B3F" w:rsidRDefault="00932420" w:rsidP="00DA512D">
            <w:pPr>
              <w:ind w:firstLine="0"/>
              <w:rPr>
                <w:sz w:val="16"/>
                <w:szCs w:val="16"/>
              </w:rPr>
            </w:pPr>
            <w:r>
              <w:rPr>
                <w:sz w:val="16"/>
                <w:szCs w:val="16"/>
              </w:rPr>
              <w:t>Es ist immer Regional- oder Kommunalbehörde anzukreuzen.</w:t>
            </w:r>
          </w:p>
        </w:tc>
      </w:tr>
      <w:tr w:rsidR="00932420" w:rsidRPr="00DA512D" w:rsidTr="00D86F90">
        <w:tc>
          <w:tcPr>
            <w:tcW w:w="9494" w:type="dxa"/>
            <w:gridSpan w:val="2"/>
          </w:tcPr>
          <w:p w:rsidR="00932420" w:rsidRPr="005E7B3F" w:rsidRDefault="00B46F0E" w:rsidP="00D86F90">
            <w:pPr>
              <w:ind w:firstLine="0"/>
              <w:rPr>
                <w:b/>
                <w:sz w:val="16"/>
                <w:szCs w:val="16"/>
              </w:rPr>
            </w:pPr>
            <w:r>
              <w:rPr>
                <w:b/>
                <w:sz w:val="16"/>
                <w:szCs w:val="16"/>
              </w:rPr>
              <w:t>Umfang der Beschaffung</w:t>
            </w:r>
          </w:p>
        </w:tc>
      </w:tr>
      <w:tr w:rsidR="00932420" w:rsidRPr="00DA512D" w:rsidTr="00DA512D">
        <w:tc>
          <w:tcPr>
            <w:tcW w:w="3369" w:type="dxa"/>
          </w:tcPr>
          <w:p w:rsidR="00932420" w:rsidRDefault="00932420" w:rsidP="00DA512D">
            <w:pPr>
              <w:ind w:firstLine="0"/>
              <w:rPr>
                <w:sz w:val="16"/>
                <w:szCs w:val="16"/>
              </w:rPr>
            </w:pPr>
            <w:r>
              <w:rPr>
                <w:sz w:val="16"/>
                <w:szCs w:val="16"/>
              </w:rPr>
              <w:t>CPV Code</w:t>
            </w:r>
          </w:p>
        </w:tc>
        <w:tc>
          <w:tcPr>
            <w:tcW w:w="6125" w:type="dxa"/>
          </w:tcPr>
          <w:p w:rsidR="00932420" w:rsidRDefault="00932420" w:rsidP="00932420">
            <w:pPr>
              <w:ind w:firstLine="0"/>
              <w:rPr>
                <w:sz w:val="16"/>
                <w:szCs w:val="16"/>
              </w:rPr>
            </w:pPr>
            <w:r>
              <w:rPr>
                <w:sz w:val="16"/>
                <w:szCs w:val="16"/>
              </w:rPr>
              <w:t xml:space="preserve">Wird über den „CPV-Code-Assistenten“ des VMP NRW ausgewählt. Ggf. weitere Informationen unter </w:t>
            </w:r>
            <w:hyperlink r:id="rId10" w:history="1">
              <w:r w:rsidRPr="00886A68">
                <w:rPr>
                  <w:rStyle w:val="Hyperlink"/>
                  <w:sz w:val="16"/>
                  <w:szCs w:val="16"/>
                </w:rPr>
                <w:t>http://simap.ted.europa.eu/web/simap/cpv</w:t>
              </w:r>
            </w:hyperlink>
            <w:r>
              <w:rPr>
                <w:sz w:val="16"/>
                <w:szCs w:val="16"/>
              </w:rPr>
              <w:t xml:space="preserve">  </w:t>
            </w:r>
          </w:p>
        </w:tc>
      </w:tr>
      <w:tr w:rsidR="00932420" w:rsidRPr="00DA512D" w:rsidTr="00DA512D">
        <w:tc>
          <w:tcPr>
            <w:tcW w:w="3369" w:type="dxa"/>
          </w:tcPr>
          <w:p w:rsidR="00932420" w:rsidRDefault="00B46F0E" w:rsidP="00DA512D">
            <w:pPr>
              <w:ind w:firstLine="0"/>
              <w:rPr>
                <w:sz w:val="16"/>
                <w:szCs w:val="16"/>
              </w:rPr>
            </w:pPr>
            <w:r>
              <w:rPr>
                <w:sz w:val="16"/>
                <w:szCs w:val="16"/>
              </w:rPr>
              <w:t>Angaben zu den Losen:</w:t>
            </w:r>
          </w:p>
        </w:tc>
        <w:tc>
          <w:tcPr>
            <w:tcW w:w="6125" w:type="dxa"/>
          </w:tcPr>
          <w:p w:rsidR="00932420" w:rsidRDefault="00B46F0E" w:rsidP="00DA512D">
            <w:pPr>
              <w:ind w:firstLine="0"/>
              <w:rPr>
                <w:sz w:val="16"/>
                <w:szCs w:val="16"/>
              </w:rPr>
            </w:pPr>
            <w:r>
              <w:rPr>
                <w:sz w:val="16"/>
                <w:szCs w:val="16"/>
              </w:rPr>
              <w:t>Bei Vorinformation:</w:t>
            </w:r>
          </w:p>
          <w:p w:rsidR="00B46F0E" w:rsidRDefault="00B46F0E" w:rsidP="00B46F0E">
            <w:pPr>
              <w:ind w:firstLine="0"/>
              <w:rPr>
                <w:sz w:val="16"/>
                <w:szCs w:val="16"/>
              </w:rPr>
            </w:pPr>
            <w:r>
              <w:rPr>
                <w:sz w:val="16"/>
                <w:szCs w:val="16"/>
              </w:rPr>
              <w:t xml:space="preserve">Informationen sind </w:t>
            </w:r>
            <w:proofErr w:type="spellStart"/>
            <w:r>
              <w:rPr>
                <w:sz w:val="16"/>
                <w:szCs w:val="16"/>
              </w:rPr>
              <w:t>grds</w:t>
            </w:r>
            <w:proofErr w:type="spellEnd"/>
            <w:r>
              <w:rPr>
                <w:sz w:val="16"/>
                <w:szCs w:val="16"/>
              </w:rPr>
              <w:t>. nicht erforderlich. Beim Aufruf zum Wettbewerb ist diese Information in der Anfrage zur Interessenbestätigung (Formular 311a EU) enthalten.</w:t>
            </w:r>
          </w:p>
          <w:p w:rsidR="00B46F0E" w:rsidRDefault="00B46F0E" w:rsidP="00B46F0E">
            <w:pPr>
              <w:ind w:firstLine="0"/>
              <w:rPr>
                <w:sz w:val="16"/>
                <w:szCs w:val="16"/>
              </w:rPr>
            </w:pPr>
            <w:r>
              <w:rPr>
                <w:sz w:val="16"/>
                <w:szCs w:val="16"/>
              </w:rPr>
              <w:t>Bei Auftragsbekanntmachung:</w:t>
            </w:r>
          </w:p>
          <w:p w:rsidR="00B46F0E" w:rsidRDefault="00B46F0E" w:rsidP="00B46F0E">
            <w:pPr>
              <w:ind w:firstLine="0"/>
              <w:rPr>
                <w:sz w:val="16"/>
                <w:szCs w:val="16"/>
              </w:rPr>
            </w:pPr>
            <w:r>
              <w:rPr>
                <w:sz w:val="16"/>
                <w:szCs w:val="16"/>
              </w:rPr>
              <w:t>Es hat eine Information zu erfolgen. Die Angaben in der Anfrage zur Angebotsabgabe (Formular 321 EU) müssen zur Losangabe identisch sein.</w:t>
            </w:r>
          </w:p>
          <w:p w:rsidR="00B46F0E" w:rsidRDefault="00B46F0E" w:rsidP="00B46F0E">
            <w:pPr>
              <w:ind w:firstLine="0"/>
              <w:rPr>
                <w:sz w:val="16"/>
                <w:szCs w:val="16"/>
              </w:rPr>
            </w:pPr>
            <w:r>
              <w:rPr>
                <w:sz w:val="16"/>
                <w:szCs w:val="16"/>
              </w:rPr>
              <w:t xml:space="preserve">Hinweis auf § 30 </w:t>
            </w:r>
            <w:proofErr w:type="spellStart"/>
            <w:r>
              <w:rPr>
                <w:sz w:val="16"/>
                <w:szCs w:val="16"/>
              </w:rPr>
              <w:t>VgV</w:t>
            </w:r>
            <w:proofErr w:type="spellEnd"/>
            <w:r>
              <w:rPr>
                <w:sz w:val="16"/>
                <w:szCs w:val="16"/>
              </w:rPr>
              <w:t xml:space="preserve"> nebst AB</w:t>
            </w:r>
          </w:p>
        </w:tc>
      </w:tr>
      <w:tr w:rsidR="00B46F0E" w:rsidRPr="00DA512D" w:rsidTr="00D86F90">
        <w:tc>
          <w:tcPr>
            <w:tcW w:w="9494" w:type="dxa"/>
            <w:gridSpan w:val="2"/>
          </w:tcPr>
          <w:p w:rsidR="00B46F0E" w:rsidRPr="005E7B3F" w:rsidRDefault="00B46F0E" w:rsidP="00D86F90">
            <w:pPr>
              <w:ind w:firstLine="0"/>
              <w:rPr>
                <w:b/>
                <w:sz w:val="16"/>
                <w:szCs w:val="16"/>
              </w:rPr>
            </w:pPr>
            <w:r>
              <w:rPr>
                <w:b/>
                <w:sz w:val="16"/>
                <w:szCs w:val="16"/>
              </w:rPr>
              <w:t>Beschreibung</w:t>
            </w:r>
          </w:p>
        </w:tc>
      </w:tr>
      <w:tr w:rsidR="00B46F0E" w:rsidRPr="00DA512D" w:rsidTr="00DA512D">
        <w:tc>
          <w:tcPr>
            <w:tcW w:w="3369" w:type="dxa"/>
          </w:tcPr>
          <w:p w:rsidR="00B46F0E" w:rsidRDefault="00B46F0E" w:rsidP="00DA512D">
            <w:pPr>
              <w:ind w:firstLine="0"/>
              <w:rPr>
                <w:sz w:val="16"/>
                <w:szCs w:val="16"/>
              </w:rPr>
            </w:pPr>
          </w:p>
        </w:tc>
        <w:tc>
          <w:tcPr>
            <w:tcW w:w="6125" w:type="dxa"/>
          </w:tcPr>
          <w:p w:rsidR="00B46F0E" w:rsidRDefault="009A1B8A" w:rsidP="00DA512D">
            <w:pPr>
              <w:ind w:firstLine="0"/>
              <w:rPr>
                <w:sz w:val="16"/>
                <w:szCs w:val="16"/>
              </w:rPr>
            </w:pPr>
            <w:r>
              <w:rPr>
                <w:sz w:val="16"/>
                <w:szCs w:val="16"/>
              </w:rPr>
              <w:t>Ziff. II 2 ist bei Losvergabe mehrfach auszufüllen. Da es sich um ein elektronisches Formular handelt, ist davon auszugehen, dass die Ziffer mehrfach elektronisch zur Verfügung steht.</w:t>
            </w:r>
          </w:p>
        </w:tc>
      </w:tr>
      <w:tr w:rsidR="009A1B8A" w:rsidRPr="00DA512D" w:rsidTr="00DA512D">
        <w:tc>
          <w:tcPr>
            <w:tcW w:w="3369" w:type="dxa"/>
          </w:tcPr>
          <w:p w:rsidR="009A1B8A" w:rsidRDefault="009A1B8A" w:rsidP="00DA512D">
            <w:pPr>
              <w:ind w:firstLine="0"/>
              <w:rPr>
                <w:sz w:val="16"/>
                <w:szCs w:val="16"/>
              </w:rPr>
            </w:pPr>
            <w:r>
              <w:rPr>
                <w:sz w:val="16"/>
                <w:szCs w:val="16"/>
              </w:rPr>
              <w:t>Zuschlagskriterium</w:t>
            </w:r>
          </w:p>
        </w:tc>
        <w:tc>
          <w:tcPr>
            <w:tcW w:w="6125" w:type="dxa"/>
          </w:tcPr>
          <w:p w:rsidR="009A1B8A" w:rsidRDefault="009A1B8A" w:rsidP="00DA512D">
            <w:pPr>
              <w:ind w:firstLine="0"/>
              <w:rPr>
                <w:sz w:val="16"/>
                <w:szCs w:val="16"/>
              </w:rPr>
            </w:pPr>
            <w:r>
              <w:rPr>
                <w:sz w:val="16"/>
                <w:szCs w:val="16"/>
              </w:rPr>
              <w:t>Nach § 127 Abs. 1 GWB ist der Zuschlag stets auf das wirtschaftlichste Angebot zu erteilen.</w:t>
            </w:r>
            <w:r w:rsidR="007459C1">
              <w:rPr>
                <w:sz w:val="16"/>
                <w:szCs w:val="16"/>
              </w:rPr>
              <w:t xml:space="preserve"> Es ist stets die zweite Alternative anzukreuzen.</w:t>
            </w:r>
            <w:bookmarkStart w:id="0" w:name="_GoBack"/>
            <w:bookmarkEnd w:id="0"/>
          </w:p>
          <w:p w:rsidR="009A1B8A" w:rsidRDefault="009A1B8A" w:rsidP="009A1B8A">
            <w:pPr>
              <w:spacing w:before="0" w:after="0"/>
              <w:ind w:firstLine="0"/>
              <w:rPr>
                <w:sz w:val="16"/>
                <w:szCs w:val="16"/>
              </w:rPr>
            </w:pPr>
            <w:r>
              <w:rPr>
                <w:sz w:val="16"/>
                <w:szCs w:val="16"/>
              </w:rPr>
              <w:t>Vorinformation</w:t>
            </w:r>
          </w:p>
          <w:p w:rsidR="009A1B8A" w:rsidRDefault="009A1B8A" w:rsidP="009A1B8A">
            <w:pPr>
              <w:spacing w:before="0"/>
              <w:ind w:firstLine="0"/>
              <w:rPr>
                <w:sz w:val="16"/>
                <w:szCs w:val="16"/>
              </w:rPr>
            </w:pPr>
            <w:r>
              <w:rPr>
                <w:sz w:val="16"/>
                <w:szCs w:val="16"/>
              </w:rPr>
              <w:t xml:space="preserve">Nur im Fall eines Aufrufs zum Wettbewerb nach § 38 Abs. 5 </w:t>
            </w:r>
            <w:proofErr w:type="spellStart"/>
            <w:r>
              <w:rPr>
                <w:sz w:val="16"/>
                <w:szCs w:val="16"/>
              </w:rPr>
              <w:t>VgV</w:t>
            </w:r>
            <w:proofErr w:type="spellEnd"/>
            <w:r>
              <w:rPr>
                <w:sz w:val="16"/>
                <w:szCs w:val="16"/>
              </w:rPr>
              <w:t xml:space="preserve"> (Interessenbekundung) ist eine Angabe erforderlich.</w:t>
            </w:r>
          </w:p>
        </w:tc>
      </w:tr>
    </w:tbl>
    <w:p w:rsidR="00DA512D" w:rsidRPr="00DA512D" w:rsidRDefault="00DA512D" w:rsidP="00DA512D">
      <w:pPr>
        <w:ind w:firstLine="0"/>
      </w:pPr>
    </w:p>
    <w:sectPr w:rsidR="00DA512D" w:rsidRPr="00DA512D" w:rsidSect="00201F16">
      <w:headerReference w:type="default" r:id="rId1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 EU</w:t>
    </w:r>
  </w:p>
  <w:p w:rsidR="00392B14" w:rsidRPr="008E3725" w:rsidRDefault="008809BF" w:rsidP="00DA512D">
    <w:pPr>
      <w:pBdr>
        <w:bottom w:val="single" w:sz="4" w:space="1" w:color="auto"/>
      </w:pBdr>
      <w:tabs>
        <w:tab w:val="right" w:pos="9608"/>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04/2016</w:t>
    </w:r>
    <w:r w:rsidR="00392B14" w:rsidRPr="008E3725">
      <w:rPr>
        <w:rFonts w:eastAsia="Times New Roman" w:cs="Arial"/>
        <w:szCs w:val="20"/>
        <w:lang w:eastAsia="de-DE"/>
      </w:rPr>
      <w:tab/>
    </w:r>
    <w:r w:rsidR="00DA512D">
      <w:rPr>
        <w:rFonts w:eastAsia="Times New Roman" w:cs="Arial"/>
        <w:szCs w:val="20"/>
        <w:lang w:eastAsia="de-DE"/>
      </w:rPr>
      <w:t>Erläuterungen Standardformulare</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124CE3"/>
    <w:rsid w:val="00142A43"/>
    <w:rsid w:val="00147204"/>
    <w:rsid w:val="0016700F"/>
    <w:rsid w:val="001B3C00"/>
    <w:rsid w:val="00201F16"/>
    <w:rsid w:val="00216094"/>
    <w:rsid w:val="00233C49"/>
    <w:rsid w:val="002404AB"/>
    <w:rsid w:val="0026517C"/>
    <w:rsid w:val="00275109"/>
    <w:rsid w:val="002E471C"/>
    <w:rsid w:val="002E6E01"/>
    <w:rsid w:val="003333F2"/>
    <w:rsid w:val="00392B14"/>
    <w:rsid w:val="003D2DBB"/>
    <w:rsid w:val="00485628"/>
    <w:rsid w:val="00493D6A"/>
    <w:rsid w:val="004D160C"/>
    <w:rsid w:val="00500637"/>
    <w:rsid w:val="00545F2C"/>
    <w:rsid w:val="00547B27"/>
    <w:rsid w:val="0055106E"/>
    <w:rsid w:val="00553078"/>
    <w:rsid w:val="005737E6"/>
    <w:rsid w:val="005906C4"/>
    <w:rsid w:val="005C113E"/>
    <w:rsid w:val="005E6B2F"/>
    <w:rsid w:val="005E7B3F"/>
    <w:rsid w:val="005F090E"/>
    <w:rsid w:val="00625952"/>
    <w:rsid w:val="0066703F"/>
    <w:rsid w:val="00690CFA"/>
    <w:rsid w:val="006A716E"/>
    <w:rsid w:val="006C3FCB"/>
    <w:rsid w:val="006C4AE5"/>
    <w:rsid w:val="006D4A00"/>
    <w:rsid w:val="00700904"/>
    <w:rsid w:val="00742DDD"/>
    <w:rsid w:val="007459C1"/>
    <w:rsid w:val="0076579F"/>
    <w:rsid w:val="00782973"/>
    <w:rsid w:val="00805504"/>
    <w:rsid w:val="008466F0"/>
    <w:rsid w:val="00850E29"/>
    <w:rsid w:val="00860C7E"/>
    <w:rsid w:val="008809BF"/>
    <w:rsid w:val="008A2FC9"/>
    <w:rsid w:val="008A45AB"/>
    <w:rsid w:val="008D7A48"/>
    <w:rsid w:val="008E3725"/>
    <w:rsid w:val="00900F3E"/>
    <w:rsid w:val="00932420"/>
    <w:rsid w:val="00954806"/>
    <w:rsid w:val="00955686"/>
    <w:rsid w:val="009868E4"/>
    <w:rsid w:val="0099082B"/>
    <w:rsid w:val="009A1B8A"/>
    <w:rsid w:val="009E0F9C"/>
    <w:rsid w:val="00A07CE9"/>
    <w:rsid w:val="00AC0471"/>
    <w:rsid w:val="00AC3CCA"/>
    <w:rsid w:val="00AC4068"/>
    <w:rsid w:val="00B3223D"/>
    <w:rsid w:val="00B46F0E"/>
    <w:rsid w:val="00B61FC9"/>
    <w:rsid w:val="00B7667B"/>
    <w:rsid w:val="00B91A1F"/>
    <w:rsid w:val="00C53C30"/>
    <w:rsid w:val="00C53CAA"/>
    <w:rsid w:val="00D05791"/>
    <w:rsid w:val="00D153FC"/>
    <w:rsid w:val="00D32707"/>
    <w:rsid w:val="00D4632A"/>
    <w:rsid w:val="00D56E64"/>
    <w:rsid w:val="00D93537"/>
    <w:rsid w:val="00D946FE"/>
    <w:rsid w:val="00DA512D"/>
    <w:rsid w:val="00DD471A"/>
    <w:rsid w:val="00E354C7"/>
    <w:rsid w:val="00E704F4"/>
    <w:rsid w:val="00E857FD"/>
    <w:rsid w:val="00E90673"/>
    <w:rsid w:val="00EB6F70"/>
    <w:rsid w:val="00F40C11"/>
    <w:rsid w:val="00F6643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map.ted.europa.eu/web/simap/cpv" TargetMode="External"/><Relationship Id="rId4" Type="http://schemas.microsoft.com/office/2007/relationships/stylesWithEffects" Target="stylesWithEffects.xml"/><Relationship Id="rId9" Type="http://schemas.openxmlformats.org/officeDocument/2006/relationships/hyperlink" Target="http://simap.ted.europa.eu/web/simap/nut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C630-51B5-4614-BB73-CB718647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Sand, Ralf (FM, REF IV A 3)</cp:lastModifiedBy>
  <cp:revision>2</cp:revision>
  <dcterms:created xsi:type="dcterms:W3CDTF">2016-04-13T16:02:00Z</dcterms:created>
  <dcterms:modified xsi:type="dcterms:W3CDTF">2016-04-13T16:02:00Z</dcterms:modified>
</cp:coreProperties>
</file>